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357 O Come, O Come, Emmanuel</w:t>
      </w:r>
    </w:p>
    <w:p>
      <w:pPr>
        <w:pStyle w:val="image"/>
      </w:pPr>
      <w:r>
        <w:drawing>
          <wp:inline distB="0" distL="0" distR="0" distT="0">
            <wp:extent cx="4576572" cy="918972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918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1004315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10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1002791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100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672083"/>
            <wp:effectExtent b="0" l="0" r="0" t="0"/>
            <wp:docPr descr="Image" id="4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4" name="Image"/>
                    <pic:cNvPicPr>
                      <a:picLocks noChangeArrowheads="true"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672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641604"/>
            <wp:effectExtent b="0" l="0" r="0" t="0"/>
            <wp:docPr descr="Image" id="5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5" name="Image"/>
                    <pic:cNvPicPr>
                      <a:picLocks noChangeArrowheads="true"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64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 and 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_rels/fontTable.xml.rels><?xml version="1.0" encoding="UTF-8" standalone="yes"?><Relationships xmlns="http://schemas.openxmlformats.org/package/2006/relationships"/>
</file>